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2D569">
      <w:pPr>
        <w:jc w:val="both"/>
      </w:pPr>
      <w:r>
        <w:rPr>
          <w:b/>
          <w:bCs/>
          <w:sz w:val="36"/>
          <w:szCs w:val="36"/>
          <w:lang w:val="el-GR" w:eastAsia="el-GR"/>
        </w:rPr>
        <w:drawing>
          <wp:anchor distT="0" distB="0" distL="114300" distR="114300" simplePos="0" relativeHeight="251661312" behindDoc="1" locked="0" layoutInCell="1" allowOverlap="1">
            <wp:simplePos x="0" y="0"/>
            <wp:positionH relativeFrom="column">
              <wp:posOffset>-535940</wp:posOffset>
            </wp:positionH>
            <wp:positionV relativeFrom="paragraph">
              <wp:posOffset>635</wp:posOffset>
            </wp:positionV>
            <wp:extent cx="1052195" cy="105219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4" cstate="hqprint">
                      <a:extLst>
                        <a:ext uri="{28A0092B-C50C-407E-A947-70E740481C1C}">
                          <a14:useLocalDpi xmlns:a14="http://schemas.microsoft.com/office/drawing/2010/main" val="0"/>
                        </a:ext>
                      </a:extLst>
                    </a:blip>
                    <a:stretch>
                      <a:fillRect/>
                    </a:stretch>
                  </pic:blipFill>
                  <pic:spPr>
                    <a:xfrm>
                      <a:off x="0" y="0"/>
                      <a:ext cx="1061481" cy="1061481"/>
                    </a:xfrm>
                    <a:prstGeom prst="rect">
                      <a:avLst/>
                    </a:prstGeom>
                  </pic:spPr>
                </pic:pic>
              </a:graphicData>
            </a:graphic>
          </wp:anchor>
        </w:drawing>
      </w:r>
      <w:r>
        <w:rPr>
          <w:b/>
          <w:bCs/>
          <w:sz w:val="36"/>
          <w:szCs w:val="36"/>
          <w:lang w:val="el-GR" w:eastAsia="el-GR"/>
        </w:rPr>
        <w:drawing>
          <wp:anchor distT="0" distB="0" distL="114300" distR="114300" simplePos="0" relativeHeight="251660288" behindDoc="1" locked="0" layoutInCell="1" allowOverlap="1">
            <wp:simplePos x="0" y="0"/>
            <wp:positionH relativeFrom="column">
              <wp:posOffset>4913630</wp:posOffset>
            </wp:positionH>
            <wp:positionV relativeFrom="paragraph">
              <wp:posOffset>-49530</wp:posOffset>
            </wp:positionV>
            <wp:extent cx="1768475" cy="123952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5" cstate="hqprint">
                      <a:extLst>
                        <a:ext uri="{28A0092B-C50C-407E-A947-70E740481C1C}">
                          <a14:useLocalDpi xmlns:a14="http://schemas.microsoft.com/office/drawing/2010/main" val="0"/>
                        </a:ext>
                      </a:extLst>
                    </a:blip>
                    <a:stretch>
                      <a:fillRect/>
                    </a:stretch>
                  </pic:blipFill>
                  <pic:spPr>
                    <a:xfrm>
                      <a:off x="0" y="0"/>
                      <a:ext cx="1768706" cy="1239663"/>
                    </a:xfrm>
                    <a:prstGeom prst="rect">
                      <a:avLst/>
                    </a:prstGeom>
                  </pic:spPr>
                </pic:pic>
              </a:graphicData>
            </a:graphic>
          </wp:anchor>
        </w:drawing>
      </w:r>
    </w:p>
    <w:p w14:paraId="273D6B59">
      <w:pPr>
        <w:jc w:val="both"/>
      </w:pPr>
    </w:p>
    <w:p w14:paraId="46098053">
      <w:pPr>
        <w:jc w:val="both"/>
        <w:rPr>
          <w:lang w:val="en-US"/>
        </w:rPr>
      </w:pPr>
      <w:r>
        <w:rPr>
          <w:b/>
          <w:bCs/>
          <w:sz w:val="36"/>
          <w:szCs w:val="36"/>
          <w:lang w:val="en-US"/>
        </w:rPr>
        <w:t xml:space="preserve">            P </w:t>
      </w:r>
      <w:r>
        <w:rPr>
          <w:lang w:val="en-US"/>
        </w:rPr>
        <w:t xml:space="preserve">r o f e s s i o n a l   </w:t>
      </w:r>
      <w:r>
        <w:rPr>
          <w:b/>
          <w:bCs/>
          <w:sz w:val="36"/>
          <w:szCs w:val="36"/>
          <w:lang w:val="en-US"/>
        </w:rPr>
        <w:t xml:space="preserve">B </w:t>
      </w:r>
      <w:r>
        <w:rPr>
          <w:lang w:val="en-US"/>
        </w:rPr>
        <w:t xml:space="preserve">o x i n g   </w:t>
      </w:r>
      <w:r>
        <w:rPr>
          <w:b/>
          <w:bCs/>
          <w:sz w:val="36"/>
          <w:szCs w:val="36"/>
          <w:lang w:val="en-US"/>
        </w:rPr>
        <w:t xml:space="preserve">F </w:t>
      </w:r>
      <w:r>
        <w:rPr>
          <w:lang w:val="en-US"/>
        </w:rPr>
        <w:t xml:space="preserve">e d e r a t i o n   o f    </w:t>
      </w:r>
      <w:r>
        <w:rPr>
          <w:b/>
          <w:bCs/>
          <w:sz w:val="36"/>
          <w:szCs w:val="36"/>
          <w:lang w:val="en-US"/>
        </w:rPr>
        <w:t xml:space="preserve">G </w:t>
      </w:r>
      <w:r>
        <w:rPr>
          <w:lang w:val="en-US"/>
        </w:rPr>
        <w:t>r e e c e</w:t>
      </w:r>
    </w:p>
    <w:p w14:paraId="6716A79F">
      <w:pPr>
        <w:jc w:val="both"/>
        <w:rPr>
          <w:lang w:val="en-US"/>
        </w:rPr>
      </w:pPr>
    </w:p>
    <w:p w14:paraId="2C9D7918">
      <w:pPr>
        <w:jc w:val="both"/>
        <w:rPr>
          <w:lang w:val="en-US"/>
        </w:rPr>
      </w:pPr>
      <w:r>
        <w:rPr>
          <w:b/>
          <w:bCs/>
          <w:sz w:val="36"/>
          <w:szCs w:val="36"/>
          <w:lang w:val="el-GR" w:eastAsia="el-GR"/>
        </w:rPr>
        <mc:AlternateContent>
          <mc:Choice Requires="wps">
            <w:drawing>
              <wp:anchor distT="0" distB="0" distL="114300" distR="114300" simplePos="0" relativeHeight="251659264" behindDoc="0" locked="0" layoutInCell="1" allowOverlap="1">
                <wp:simplePos x="0" y="0"/>
                <wp:positionH relativeFrom="column">
                  <wp:posOffset>-990600</wp:posOffset>
                </wp:positionH>
                <wp:positionV relativeFrom="paragraph">
                  <wp:posOffset>184150</wp:posOffset>
                </wp:positionV>
                <wp:extent cx="8752205" cy="2540"/>
                <wp:effectExtent l="0" t="12700" r="24130" b="22860"/>
                <wp:wrapNone/>
                <wp:docPr id="2" name="Straight Connector 2"/>
                <wp:cNvGraphicFramePr/>
                <a:graphic xmlns:a="http://schemas.openxmlformats.org/drawingml/2006/main">
                  <a:graphicData uri="http://schemas.microsoft.com/office/word/2010/wordprocessingShape">
                    <wps:wsp>
                      <wps:cNvCnPr/>
                      <wps:spPr>
                        <a:xfrm flipV="1">
                          <a:off x="0" y="0"/>
                          <a:ext cx="8752194" cy="2625"/>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78pt;margin-top:14.5pt;height:0.2pt;width:689.15pt;z-index:251659264;mso-width-relative:page;mso-height-relative:page;" filled="f" stroked="t" coordsize="21600,21600" o:gfxdata="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urmoYtgAAAAL&#10;AQAADwAAAAAAAAABACAAAAAiAAAAZHJzL2Rvd25yZXYueG1sUEsBAhQAFAAAAAgAh07iQCRyGXDj&#10;AQAAwgMAAA4AAAAAAAAAAQAgAAAAJwEAAGRycy9lMm9Eb2MueG1sUEsFBgAAAAAGAAYAWQEAAHwF&#10;AAAAAA==&#10;">
                <v:fill on="f" focussize="0,0"/>
                <v:stroke weight="1.5pt" color="#4472C4 [3204]" miterlimit="8" joinstyle="miter"/>
                <v:imagedata o:title=""/>
                <o:lock v:ext="edit" aspectratio="f"/>
              </v:line>
            </w:pict>
          </mc:Fallback>
        </mc:AlternateContent>
      </w:r>
    </w:p>
    <w:p w14:paraId="6D941D93">
      <w:pPr>
        <w:jc w:val="both"/>
        <w:rPr>
          <w:lang w:val="en-US"/>
        </w:rPr>
      </w:pPr>
    </w:p>
    <w:p w14:paraId="52C580CD">
      <w:pPr>
        <w:jc w:val="both"/>
        <w:rPr>
          <w:lang w:val="en-US"/>
        </w:rPr>
      </w:pPr>
    </w:p>
    <w:p w14:paraId="4B31D3CA">
      <w:pPr>
        <w:widowControl w:val="0"/>
        <w:autoSpaceDE w:val="0"/>
        <w:autoSpaceDN w:val="0"/>
        <w:adjustRightInd w:val="0"/>
        <w:spacing w:after="200" w:line="276" w:lineRule="auto"/>
        <w:jc w:val="center"/>
        <w:rPr>
          <w:rFonts w:ascii="Calibri" w:hAnsi="Calibri" w:cs="Calibri"/>
          <w:b/>
          <w:sz w:val="22"/>
          <w:szCs w:val="22"/>
          <w:lang w:val="el-GR"/>
        </w:rPr>
      </w:pPr>
      <w:r>
        <w:rPr>
          <w:rFonts w:ascii="Calibri" w:hAnsi="Calibri" w:cs="Calibri"/>
          <w:b/>
          <w:sz w:val="22"/>
          <w:szCs w:val="22"/>
          <w:lang w:val="el-GR"/>
        </w:rPr>
        <w:t>ΣΥΜΦΩΝΗΤΙΚΟ</w:t>
      </w:r>
    </w:p>
    <w:p w14:paraId="5196BD74">
      <w:pPr>
        <w:widowControl w:val="0"/>
        <w:autoSpaceDE w:val="0"/>
        <w:autoSpaceDN w:val="0"/>
        <w:adjustRightInd w:val="0"/>
        <w:spacing w:after="200" w:line="276" w:lineRule="auto"/>
        <w:jc w:val="center"/>
        <w:rPr>
          <w:rFonts w:ascii="Calibri" w:hAnsi="Calibri" w:cs="Calibri"/>
          <w:b/>
          <w:sz w:val="22"/>
          <w:szCs w:val="22"/>
          <w:lang w:val="el-GR"/>
        </w:rPr>
      </w:pPr>
      <w:r>
        <w:rPr>
          <w:rFonts w:ascii="Calibri" w:hAnsi="Calibri" w:cs="Calibri"/>
          <w:b/>
          <w:sz w:val="22"/>
          <w:szCs w:val="22"/>
          <w:lang w:val="el-GR"/>
        </w:rPr>
        <w:t>ΕΛΛΗΝΙΚΗΣ</w:t>
      </w:r>
      <w:r>
        <w:rPr>
          <w:rFonts w:hint="default" w:ascii="Calibri" w:hAnsi="Calibri" w:cs="Calibri"/>
          <w:b/>
          <w:sz w:val="22"/>
          <w:szCs w:val="22"/>
          <w:lang w:val="el-GR"/>
        </w:rPr>
        <w:t xml:space="preserve"> ΟΜΟΣΠΟΝΔΙΑΣ ΕΠΑΓΓΕΛΜΑΤΙΚΗΣ</w:t>
      </w:r>
      <w:bookmarkStart w:id="0" w:name="_GoBack"/>
      <w:bookmarkEnd w:id="0"/>
      <w:r>
        <w:rPr>
          <w:rFonts w:hint="default" w:ascii="Calibri" w:hAnsi="Calibri" w:cs="Calibri"/>
          <w:b/>
          <w:sz w:val="22"/>
          <w:szCs w:val="22"/>
          <w:lang w:val="el-GR"/>
        </w:rPr>
        <w:t xml:space="preserve"> ΠΥΓΜΑΧΙΑΣ</w:t>
      </w:r>
      <w:r>
        <w:rPr>
          <w:rFonts w:ascii="Calibri" w:hAnsi="Calibri" w:cs="Calibri"/>
          <w:b/>
          <w:sz w:val="22"/>
          <w:szCs w:val="22"/>
          <w:lang w:val="el-GR"/>
        </w:rPr>
        <w:t xml:space="preserve"> ΓΙΑ ΤΗΝ</w:t>
      </w:r>
    </w:p>
    <w:p w14:paraId="1EEEF983">
      <w:pPr>
        <w:widowControl w:val="0"/>
        <w:autoSpaceDE w:val="0"/>
        <w:autoSpaceDN w:val="0"/>
        <w:adjustRightInd w:val="0"/>
        <w:spacing w:after="200" w:line="276" w:lineRule="auto"/>
        <w:jc w:val="center"/>
        <w:rPr>
          <w:rFonts w:ascii="Calibri" w:hAnsi="Calibri" w:cs="Calibri"/>
          <w:b/>
          <w:sz w:val="22"/>
          <w:szCs w:val="22"/>
          <w:lang w:val="el-GR"/>
        </w:rPr>
      </w:pPr>
      <w:r>
        <w:rPr>
          <w:rFonts w:ascii="Calibri" w:hAnsi="Calibri" w:cs="Calibri"/>
          <w:b/>
          <w:sz w:val="22"/>
          <w:szCs w:val="22"/>
          <w:lang w:val="el-GR"/>
        </w:rPr>
        <w:t>ΕΚΔΟΣΗ ΕΠΑΓΓΕΛΜΑΤΙΚΗΣ ΚΑΡΤΑΣ ΚΑΙ ΤΗ ΣΥΜΜΕΤΟΧΗ ΣΕ ΑΓΩΝΕΣ</w:t>
      </w:r>
    </w:p>
    <w:p w14:paraId="50E6DF6B">
      <w:pPr>
        <w:widowControl w:val="0"/>
        <w:autoSpaceDE w:val="0"/>
        <w:autoSpaceDN w:val="0"/>
        <w:adjustRightInd w:val="0"/>
        <w:spacing w:after="200" w:line="276" w:lineRule="auto"/>
        <w:jc w:val="center"/>
        <w:rPr>
          <w:rFonts w:ascii="Calibri" w:hAnsi="Calibri" w:cs="Calibri"/>
          <w:b/>
          <w:sz w:val="22"/>
          <w:szCs w:val="22"/>
          <w:lang w:val="el-GR"/>
        </w:rPr>
      </w:pPr>
      <w:r>
        <w:rPr>
          <w:rFonts w:ascii="Calibri" w:hAnsi="Calibri" w:cs="Calibri"/>
          <w:b/>
          <w:sz w:val="22"/>
          <w:szCs w:val="22"/>
          <w:lang w:val="el-GR"/>
        </w:rPr>
        <w:t>ΕΠΑΓΓΕΛΜΑΤΙΚΗΣ ΠΥΓΜΑΧΙΑΣ</w:t>
      </w:r>
    </w:p>
    <w:p w14:paraId="38264604">
      <w:pPr>
        <w:widowControl w:val="0"/>
        <w:autoSpaceDE w:val="0"/>
        <w:autoSpaceDN w:val="0"/>
        <w:adjustRightInd w:val="0"/>
        <w:spacing w:after="200" w:line="276" w:lineRule="auto"/>
        <w:jc w:val="both"/>
        <w:rPr>
          <w:rFonts w:ascii="Calibri" w:hAnsi="Calibri" w:cs="Calibri"/>
          <w:sz w:val="22"/>
          <w:szCs w:val="22"/>
          <w:lang w:val="el-GR"/>
        </w:rPr>
      </w:pPr>
    </w:p>
    <w:p w14:paraId="4415FAFD">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 xml:space="preserve">Στην Αθήνα σήμερα την ..../.../ ......... και ημέρα ........μεταξύ των αφενός μεν </w:t>
      </w:r>
    </w:p>
    <w:p w14:paraId="40944A23">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 xml:space="preserve">του σωματείου με την επωνυμία ΕΛΛΗΝΙΚΗ ΟΜΟΣΠΟΝΔΙΑ ΕΠΑΓΓΕΛΜΑΤΙΚΗΣ ΠΥΓΜΑΧΙΑΣ </w:t>
      </w:r>
    </w:p>
    <w:p w14:paraId="3C84BFB9">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που εδρεύει στο Περιστέρι Αττικής επί της οδού</w:t>
      </w:r>
    </w:p>
    <w:p w14:paraId="4BBBE1BD">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Καποδιστρίου 30 Α κι εκπροσωπείται νόμιμα κατά την υπογραφή του παρόντος</w:t>
      </w:r>
    </w:p>
    <w:p w14:paraId="01CFFF15">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από τον Πρόεδρο του Δ.Σ. κ. Γιώργο Στεφανόπουλο, ο οποίος θα καλείται χάριν</w:t>
      </w:r>
    </w:p>
    <w:p w14:paraId="23797FEE">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συντομίας «Ε.Ο.Ε.Π. » και αφετέρου του πυγμάχου......................................................................κατοίκου...............................................</w:t>
      </w:r>
    </w:p>
    <w:p w14:paraId="072D82E4">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............................................κατόχου του υπ. Αρ. ΑΔΤ ..........................και με ΑΦΜ</w:t>
      </w:r>
    </w:p>
    <w:p w14:paraId="78031C7F">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.........................................ΔΟΥ.............. ..............και ΑΜΚΑ...........................αγωνιστική κατηγορία ......................................... διεύθυνση κατοικίας ........................................... τηλεφωνο επικοινωνίας ............................................ ο οποίος στη συνέχεια χάριν συντομίας θα αποκαλείται "πυγμάχος". Συμφωνήθηκαν κι έγιναν αμοιβαία αποδεκτά τα κάτωθι::</w:t>
      </w:r>
    </w:p>
    <w:p w14:paraId="2A6932C4">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1) Ο Ε.Ο.Ε.Π.  έχει σκοπό την ανάπτυξη της επαγγελματικής πυγμαχίας μέσα από τη συστηματική καλλιέργεια κι ενίσχυση των δυνατοτήτων των πυγμάχων και τη συνακόλουθη συμμετοχή τους σε επαγγελματικές πυγμαχικές διοργανώσεις, που διεξάγονται από τον ίδιο το Ε.Ο.Ε.Π.  ή υπό την αιγίδα του, εντός κι εκτός Ελλάδος.</w:t>
      </w:r>
    </w:p>
    <w:p w14:paraId="20CD6225">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2) Αντικείμενο του παρόντος είναι η ρύθμιση ζητημάτων που αφορούν την έκδοση επαγγελματικής κάρτας του πυγμάχου και τη συμμετοχή του σε επαγγελματικές πυγμαχικές διοργανώσεις εντός κι εκτός Ελλάδος.</w:t>
      </w:r>
    </w:p>
    <w:p w14:paraId="023AF039">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 xml:space="preserve">3) Το παρόν συμφωνητικό θα έχει διάρκεια δύο (2) ετών και ανανεώνονται για άλλα δύο (έτη) μετά τη λήξη του εκτός αν ένας από τους δύο συμβαλλόμενους επιθυμεί και εκφράσει γραπτώς στέλνοντας  </w:t>
      </w:r>
      <w:r>
        <w:rPr>
          <w:rFonts w:ascii="Calibri" w:hAnsi="Calibri" w:cs="Calibri"/>
          <w:lang w:val="en-US"/>
        </w:rPr>
        <w:t>email</w:t>
      </w:r>
      <w:r>
        <w:rPr>
          <w:rFonts w:ascii="Calibri" w:hAnsi="Calibri" w:cs="Calibri"/>
          <w:lang w:val="el-GR"/>
        </w:rPr>
        <w:t xml:space="preserve"> στο </w:t>
      </w:r>
      <w:r>
        <w:rPr>
          <w:rFonts w:hint="default" w:ascii="Calibri" w:hAnsi="Calibri" w:cs="Calibri"/>
          <w:lang w:val="en-US"/>
        </w:rPr>
        <w:fldChar w:fldCharType="begin"/>
      </w:r>
      <w:r>
        <w:rPr>
          <w:rFonts w:hint="default" w:ascii="Calibri" w:hAnsi="Calibri" w:cs="Calibri"/>
          <w:lang w:val="en-US"/>
        </w:rPr>
        <w:instrText xml:space="preserve"> HYPERLINK "mailto:pbfofgreece@gmail.com" </w:instrText>
      </w:r>
      <w:r>
        <w:rPr>
          <w:rFonts w:hint="default" w:ascii="Calibri" w:hAnsi="Calibri" w:cs="Calibri"/>
          <w:lang w:val="en-US"/>
        </w:rPr>
        <w:fldChar w:fldCharType="separate"/>
      </w:r>
      <w:r>
        <w:rPr>
          <w:rStyle w:val="6"/>
          <w:rFonts w:hint="default" w:ascii="Calibri" w:hAnsi="Calibri" w:cs="Calibri"/>
          <w:lang w:val="en-US"/>
        </w:rPr>
        <w:t>pbfofgreece@gmail.com</w:t>
      </w:r>
      <w:r>
        <w:rPr>
          <w:rFonts w:hint="default" w:ascii="Calibri" w:hAnsi="Calibri" w:cs="Calibri"/>
          <w:lang w:val="en-US"/>
        </w:rPr>
        <w:fldChar w:fldCharType="end"/>
      </w:r>
      <w:r>
        <w:rPr>
          <w:rFonts w:hint="default" w:ascii="Calibri" w:hAnsi="Calibri" w:cs="Calibri"/>
          <w:lang w:val="en-US"/>
        </w:rPr>
        <w:t xml:space="preserve"> </w:t>
      </w:r>
      <w:r>
        <w:rPr>
          <w:rFonts w:ascii="Calibri" w:hAnsi="Calibri" w:cs="Calibri"/>
          <w:lang w:val="el-GR"/>
        </w:rPr>
        <w:t xml:space="preserve">τη διακοπή του.    </w:t>
      </w:r>
    </w:p>
    <w:p w14:paraId="2A1E78D3">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4) Ο πυγμάχος θα έχει δικαίωμα να λάβει αμοιβή από τη συμμετοχή του σε αγώνες , η οποία καθορίζεται με εδική συμφωνία των συμβαλλομένων μερών. Ο πυγμάχος προκειμένου να λάβει τη συμφωνημένη κατά τα παραπάνω αμοιβή του αλλά και να παραμείνει ενεργός πυγμάχος του Ε.Ο.Ε.Π. , οφείλει να τηρήσει τις υποχρεώσεις που προβλέπονται αναλυτικά στο παρόν  συμφωνητικό.</w:t>
      </w:r>
    </w:p>
    <w:p w14:paraId="6E0E0062">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 xml:space="preserve">Αν ο  πυγμάχος κλείσει τον αγώνα μόνος του, έχει την υποχρέωση να αποστέλλει ηλεκτρονικά στο Ε.Ο.Ε.Π. , τουλάχιστον 10 μέρες πριν τον αγώνα  το συμφωνητικό αγώνα του με Έλληνα ή ξένο προμόουτερ. </w:t>
      </w:r>
    </w:p>
    <w:p w14:paraId="2A319641">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 xml:space="preserve">Ο πυγμάχος ή η ομάδα του έχει την υποχρέωση να ενημερώσει τον Ε.Ο,Ε.Π. με τα στοιχεία του αντιπάλου του ώστε να διερευνηθεί, από τον Ε.Ο.Ε.Π. αν ο αντίπαλος έχει προβεί στις απαραίτητες ιατρικές εξετάσεις  όπως προβλέπονται από την EBU και σε ποια νόμιμη κι επίσημη ομοσπονδία ή άλλο φορέα επαγγελματικής πυγμαχίας στον κόσμο, από την οποία θα ζητήσει την έκδοση άδειας για τον επικείμενο αγώνα. </w:t>
      </w:r>
    </w:p>
    <w:p w14:paraId="4B5E0FC2">
      <w:pPr>
        <w:widowControl w:val="0"/>
        <w:autoSpaceDE w:val="0"/>
        <w:autoSpaceDN w:val="0"/>
        <w:adjustRightInd w:val="0"/>
        <w:spacing w:after="200" w:line="276" w:lineRule="auto"/>
        <w:jc w:val="both"/>
        <w:rPr>
          <w:rFonts w:ascii="Calibri" w:hAnsi="Calibri" w:cs="Calibri"/>
          <w:lang w:val="el-GR"/>
        </w:rPr>
      </w:pPr>
    </w:p>
    <w:p w14:paraId="728F5EA3">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 xml:space="preserve">5) Ο πυγμάχος αποδέχεται την προβολή του μέσω των επίσημων χορηγών επικοινωνίας του Ε.Ο.Ε.Π.  , διαδικτυακών, τηλεοπτικών, ραδιοφωνικών και πάσης φύσεως ΜΜΕ , όπου θα γίνονται εκπομπές, συνεντεύξεις , αφιερώματα και θα προβάλλονται βίντεο αγώνων, που στόχο έχουν την προβολή και ανάδειξη της επαγγελματικής πυγμαχίας, στις οποίες δε θα αρνείται τη συμμετοχή του αλλά θα συμμετέχει πρόθυμα όποτε αυτό του ζητηθεί,  και δηλώνει ότι δε διατηρεί κάποιο οικονομικό δικαίωμα ή απαίτηση για αυτές του τις ενέργειες. </w:t>
      </w:r>
    </w:p>
    <w:p w14:paraId="012E9944">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6) Ο Ε.Ο.Ε.Π.  διατηρεί το αποκλειστικό δικαίωμα να βιντεοσκοπήσει τους αγώνες και τις διοργανώσεις που διοργανώνει ο  Ε.Ο.Ε.Π.   και να τις αναπαραγάγει τηλεοπτικά, να χρησιμοποιήσει φωτογραφικό και οπτικοακουστικό υλικό των εν γένει δράσεων του χωρίς την έγγραφη ή προφορική άδεια του πυγμάχου.</w:t>
      </w:r>
    </w:p>
    <w:p w14:paraId="73BA7787">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7) Ο πυγμάχος μπορεί να συμμετάσχει σε οποιαδήποτε διοργάνωση εντός κι εκτός Ελλάδος μόνο κατόπιν σχετικής ενημέρωσης και άδειας κι έγκρισης από το Ε.Ο.Ε.Π. .</w:t>
      </w:r>
    </w:p>
    <w:p w14:paraId="53886E3A">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 xml:space="preserve">8) Σε περίπτωση που ο πυγμάχος συμμετάσχει σε οποιαδήποτε διοργάνωση εντός ή εκτός Ελλάδος χωρίς σχετική έγγραφη ηλεκτρονική ενημέρωση από τον πυγμάχο ή άδεια από το Ε.Ο.Ε.Π. , ο Ε.Ο.Ε.Π.  διατηρεί το δικαίωμα της επιβολής τιμωρίας  και του καθορισμού προστίμου προς τον πυγμάχο. </w:t>
      </w:r>
    </w:p>
    <w:p w14:paraId="33F999F0">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9) Ο πυγμάχος οφείλει να ενημερώνει το Ε.Ο.Ε.Π.  τουλάχιστον δέκα εργάσιμες μέρες πριν τη συμμετοχή του σε οποιαδήποτε διοργάνωση εντός ή εκτός Ελλάδος .</w:t>
      </w:r>
    </w:p>
    <w:p w14:paraId="09935120">
      <w:pPr>
        <w:widowControl w:val="0"/>
        <w:autoSpaceDE w:val="0"/>
        <w:autoSpaceDN w:val="0"/>
        <w:adjustRightInd w:val="0"/>
        <w:spacing w:after="200" w:line="276" w:lineRule="auto"/>
        <w:jc w:val="both"/>
        <w:rPr>
          <w:rFonts w:hint="default" w:ascii="Calibri" w:hAnsi="Calibri" w:cs="Calibri"/>
          <w:lang w:val="en-US"/>
        </w:rPr>
      </w:pPr>
      <w:r>
        <w:rPr>
          <w:rFonts w:ascii="Calibri" w:hAnsi="Calibri" w:cs="Calibri"/>
          <w:lang w:val="el-GR"/>
        </w:rPr>
        <w:t xml:space="preserve">10) Ο πυγμάχος οφείλει πριν τον αγώνα να αποστέλλει ηλεκτρονικά στο Ε.Ο.Ε.Π.  το συμφωνητικό συνεργασίας του σε αγώνα με Έλληνα ή ξένο διοργανωτή στο οποίο θα αναγράφεται η αμοιβή του. mail Ε.Ο.Ε.Π. </w:t>
      </w:r>
      <w:r>
        <w:rPr>
          <w:rFonts w:hint="default" w:ascii="Calibri" w:hAnsi="Calibri" w:cs="Calibri"/>
          <w:lang w:val="en-US"/>
        </w:rPr>
        <w:t>pbfofgreece@gmail.com</w:t>
      </w:r>
    </w:p>
    <w:p w14:paraId="739BF04B">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11) Απαγορεύεται ο πυγμάχος να κάνει χρήση αναβολικών και απαγορευμένων ουσιών σύμφωνα με το “ευ αγωνίζεσθαι” αλλά και τους κανονισμούς της EBU. Σε περίπτωση που κάποιος πυγμάχος αποδειχθεί ότι έχει κάνει χρήση τέτοιων ουσιών θα διώκεται νομικά από το Ε.Ο.Ε.Π. , τόσο ο ίδιος όσο και ο προπονητής που θα έχει δηλώσει στο Ε.Ο.Ε.Π.  ότι θα τον συνοδεύσει στο συγκεκριμένο αγώνα, για τη δυσφήμιση και για τη δημόσια αρνητική εικόνα του Ε.Ο.Ε.Π.  εντός κι εκτός Ελλάδος και για ότι άλλο προβλέπεται σε ελληνικά και διεθνή δικαστήρια.</w:t>
      </w:r>
    </w:p>
    <w:p w14:paraId="015D4952">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 xml:space="preserve">12) </w:t>
      </w:r>
      <w:r>
        <w:rPr>
          <w:rFonts w:ascii="Calibri" w:hAnsi="Calibri" w:cs="Calibri"/>
          <w:lang w:val="en"/>
        </w:rPr>
        <w:t>O</w:t>
      </w:r>
      <w:r>
        <w:rPr>
          <w:rFonts w:ascii="Calibri" w:hAnsi="Calibri" w:cs="Calibri"/>
          <w:lang w:val="el-GR"/>
        </w:rPr>
        <w:t xml:space="preserve"> πυγμάχος αλλά και η ομάδα του (γωνία) , οφείλουν να παραβρίσκονται στους χώρους δράσεων του Ε.Ο.Ε.Π.  αλλά και των άλλων προμόουτερ  ( συνέντευξη τύπου, ζύγιση, αγώνες, κ.α. )  τουλάχιστον μία ώρα νωρίτερα από την αναγραφόμενη στο συμφωνητικό εντός κι εκτός Ελλάδος.</w:t>
      </w:r>
    </w:p>
    <w:p w14:paraId="0E9A7660">
      <w:pPr>
        <w:widowControl w:val="0"/>
        <w:autoSpaceDE w:val="0"/>
        <w:autoSpaceDN w:val="0"/>
        <w:adjustRightInd w:val="0"/>
        <w:spacing w:after="200" w:line="276" w:lineRule="auto"/>
        <w:jc w:val="both"/>
        <w:rPr>
          <w:rFonts w:ascii="Calibri" w:hAnsi="Calibri" w:cs="Calibri"/>
          <w:lang w:val="el-GR"/>
        </w:rPr>
      </w:pPr>
    </w:p>
    <w:p w14:paraId="56BBEFDB">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13) Ο πυγμάχος οφείλει να πραγματοποιήσει τις ιατρικές εξετάσεις που προβλέπονται , δεσμεύεται ότι θα καταβάλει κάθε δυνατή προσπάθεια να προσκομίσει τις ιατρικές εξετάσεις του εγκαίρως, τουλάχιστον δέκα μέρες πριν τη συμμετοχή του σε αγώνα. Σε περίπτωση που οι εξετάσεις πραγματοποιηθούν σε συνεργασία με το Ε.Ο.Ε.Π. , ο πυγμαχος  οφείλει να ανταποκριθεί στα προκαθορισμένα ιατρικά ραντεβού χωρίς καθυστέρηση και ολιγωρία.</w:t>
      </w:r>
    </w:p>
    <w:p w14:paraId="02ED7A21">
      <w:pPr>
        <w:widowControl w:val="0"/>
        <w:autoSpaceDE w:val="0"/>
        <w:autoSpaceDN w:val="0"/>
        <w:adjustRightInd w:val="0"/>
        <w:spacing w:after="200" w:line="276" w:lineRule="auto"/>
        <w:jc w:val="both"/>
        <w:rPr>
          <w:rFonts w:ascii="Calibri" w:hAnsi="Calibri" w:cs="Calibri"/>
          <w:lang w:val="el-GR"/>
        </w:rPr>
      </w:pPr>
    </w:p>
    <w:p w14:paraId="6B730819">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14) Απαγορεύεται ο πυγμάχος να έχει στη γωνία του, ή και στη ζύγισή του, ή και στη συνέντευξη τύπου ή και σε κάθε επίσημη παρουσία του και δημόσια εικόνα του (φωτογραφίες, βίντεο) που αφορούν τον αγώνα και γενικότερα τις δράσεις που εμπλέκεται ο Ε.Ο.Ε.Π. , πριν κατά τη διάρκεια και μετά τον αγώνα αλλά και την όποια δράση του Ε.Ο.Ε.Π. , πρόσωπα τα οποία στο παρελθόν έχει διαπιστώσει ο Ε.Ο.Ε.Π.  ότι έχουν επιδείξει αντιεπαγγελματική συμπεριφορά είτε με λεκτικές επιθέσεις είτε με αντικανονικές ενέργειες, οι οποίες αντιβαίνουν του «ευ αγωνίζεσθαι» και θέτουν σε κίνδυνο τη δημόσια θετική εικόνα του Ε.Ο.Ε.Π.  κι ως εκ τούτου κρίνονται από το Ε.Ο.Ε.Π.  ακατάλληλα να τον εκπροσωπούν δημόσια εντός κι εκτός Ελλάδος και δεν έχουν γραπτή έγκριση να βρίσκονται πλησίον του πυγμάχου του Ε.Ο.Ε.Π. .</w:t>
      </w:r>
    </w:p>
    <w:p w14:paraId="59536217">
      <w:pPr>
        <w:widowControl w:val="0"/>
        <w:autoSpaceDE w:val="0"/>
        <w:autoSpaceDN w:val="0"/>
        <w:adjustRightInd w:val="0"/>
        <w:spacing w:after="200" w:line="276" w:lineRule="auto"/>
        <w:jc w:val="both"/>
        <w:rPr>
          <w:rFonts w:ascii="Calibri" w:hAnsi="Calibri" w:cs="Calibri"/>
          <w:lang w:val="el-GR"/>
        </w:rPr>
      </w:pPr>
    </w:p>
    <w:p w14:paraId="6EE6F5DA">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15) Ο Ε.Ο.Ε.Π.  διατηρεί το δικαίωμα να αποκλείσει από τη γωνία του πυγμάχου άτομα που στο παρελθόν έχουν πλήξει με την εν γένει συμπεριφορά τους τη φήμη του Ε.Ο.Ε.Π.  . Σε περίπτωση που κάποιος πυγμάχος παραβιάσει τους παραπάνω όρους θα τιμωρείται και θα του επιβάλλεται  πρόστιμο και θα βρεθεί αντιμέτωπος ακόμα και με το ενδεχόμενο διαγραφής του από το Ε.Ο.Ε.Π. .</w:t>
      </w:r>
    </w:p>
    <w:p w14:paraId="2D72A2CF">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16) Απαγορεύεται ο πυγμάχος ή άτομα από τη γωνία του να πλήξουν με τη συμπεριφορά τους ή με τη δημόσια εικόνα τους ή με δημόσιες δηλώσεις τους στα ΜΜΕ, πολύ δε μάλλον στην τηλεόραση τη φήμη του Ε.Ο.Ε.Π. . Εαν συμβεί έστω κι ένα από αυτά, ο πυγμάχος θα τιμωρείται και θα του επιβάλλεται πρόστιμο και θα βρεθεί αντιμέτωπος ακόμα και με το ενδεχόμενο διαγραφής του από το Ε.Ο.Ε.Π. .</w:t>
      </w:r>
    </w:p>
    <w:p w14:paraId="21DCA75B">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 xml:space="preserve">17) Εάν ο πυγμάχος επιθυμεί να διακόψει τη συνεργασία του με το Ε.Ο.Ε.Π.  για να μεταβεί σε άλλη χώρα ή για να πάρει άδεια επαγγελματική από ξένη ομοσπονδία ή για οποιοδήποτε άλλο δικό του λόγο, απαραίτητη πρυπόθεση είναι η έγγραφη άδεια από το ΔΣ του Ε.Ο.Ε.Π. </w:t>
      </w:r>
    </w:p>
    <w:p w14:paraId="04D76BAD">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 xml:space="preserve">18) Αν ο πυγμάχος αγωνιστεί σε ελληνική ή διεθνή διοργάνωση χωρίς να έχει λάβει άδεια από το Ε.Ο.Ε.Π. , θα δεχτεί πρόστιμο που θα καθορίσει το ΔΣ του Ε.Ο.Ε.Π.  και θα επαναλάβει τις προβλεπόμενες ιατρικές εξετάσεις του με δική του επιβάρυνση. </w:t>
      </w:r>
    </w:p>
    <w:p w14:paraId="784A9987">
      <w:pPr>
        <w:widowControl w:val="0"/>
        <w:autoSpaceDE w:val="0"/>
        <w:autoSpaceDN w:val="0"/>
        <w:adjustRightInd w:val="0"/>
        <w:spacing w:after="200" w:line="276" w:lineRule="auto"/>
        <w:jc w:val="both"/>
        <w:rPr>
          <w:rFonts w:ascii="Calibri" w:hAnsi="Calibri" w:cs="Calibri"/>
          <w:lang w:val="el-GR"/>
        </w:rPr>
      </w:pPr>
      <w:r>
        <w:rPr>
          <w:rFonts w:ascii="Calibri" w:hAnsi="Calibri" w:cs="Calibri"/>
          <w:b/>
          <w:bCs/>
          <w:u w:val="single"/>
          <w:lang w:val="el-GR"/>
        </w:rPr>
        <w:t>ΑΓΩΝΑΣ ΣΤΟ ΕΞΩΤΕΡΙΚΟ</w:t>
      </w:r>
    </w:p>
    <w:p w14:paraId="60F0B8F1">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Ο πυγμάχος και οι επίσημοι συνοδοί –προπονητές του</w:t>
      </w:r>
    </w:p>
    <w:p w14:paraId="0DF3DAC8">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οφείλουν :</w:t>
      </w:r>
    </w:p>
    <w:p w14:paraId="5F1CED57">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19) να τηρήσουν στο έπακρο το συμφωνητικό που υπεγράφη με τον ξένο μάνατζερ.</w:t>
      </w:r>
    </w:p>
    <w:p w14:paraId="73CA15C4">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20) να έχουν κόσμια και ευπρεπή συμπεριφορά και όχι παραβατική, καθόλη τη διάρκεια της παραμονής τους στη χώρα που πραγματοποιείται ο αγώνας, εντός κι εκτός γηπέδου, εντός κι εκτός ξενοδοχείου και οπουδήποτε αλλού βρεθούν καθόλη τη διάρκεια του ταξιδιού ( αεροδρόμια, μέσα μεταφοράς, δημόσιοι και ιδιωτικοί χώροι).</w:t>
      </w:r>
    </w:p>
    <w:p w14:paraId="2AB20760">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21) Να έχουν ευπρεπή συμπεριφορά προς τον αντίπαλο και τους παράγοντες της διοργάνωσης πριν κατά τη διάρκεια και μετά τη λήξη του αγώνα αλλά και της ζύγισης .</w:t>
      </w:r>
    </w:p>
    <w:p w14:paraId="0AD1BB6E">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22) Να δεχτούν με σεβασμό το αποτέλεσμα του αγώνα ακόμα και αν διαφωνούν με αυτό.</w:t>
      </w:r>
    </w:p>
    <w:p w14:paraId="2B101E5D">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23) Να μην προκαλέσουν υλικές ζημιές σε οποιοδήποτε χώρο κινηθούν καθόλη τη διάρκεια του ταξιδιού.</w:t>
      </w:r>
    </w:p>
    <w:p w14:paraId="2469A07E">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24) Να μην εκθέσουν με κακή συμπεριφορά το Ε.Ο.Ε.Π.  και την Ελλάδα καθόλη τη διάρκεια του ταξιδιού.</w:t>
      </w:r>
    </w:p>
    <w:p w14:paraId="128565AC">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25)Ο Ε.Ο.Ε.Π. για αγώνες που διοργανώνονται και διεξάγονται στην Ελλάδα, δεν αξιώνει καμία οικονομική απολαβή για όλες τις υπηρεσίες που έχει προσφέρει στον πυγμάχο.</w:t>
      </w:r>
    </w:p>
    <w:p w14:paraId="101D76AB">
      <w:pPr>
        <w:widowControl w:val="0"/>
        <w:autoSpaceDE w:val="0"/>
        <w:autoSpaceDN w:val="0"/>
        <w:adjustRightInd w:val="0"/>
        <w:spacing w:after="200" w:line="276" w:lineRule="auto"/>
        <w:jc w:val="both"/>
        <w:rPr>
          <w:rFonts w:ascii="Calibri" w:hAnsi="Calibri" w:cs="Calibri"/>
          <w:lang w:val="en-US"/>
        </w:rPr>
      </w:pPr>
      <w:r>
        <w:rPr>
          <w:rFonts w:ascii="Calibri" w:hAnsi="Calibri" w:cs="Calibri"/>
          <w:lang w:val="el-GR"/>
        </w:rPr>
        <w:t xml:space="preserve">26) Για συμμετοχή σε διοργανώσεις  που  διεξάγονται   εκτός Ελλάδος ο πυγμάχος οφείλει να καταβάλει ποσό ίσο με το 10% της συμφωνηθείσας αμοιβής, υπέρ  του Ε.Ο.Ε.Π.  Το ποσό που θα προκύπτει από το 10% της συμφωνηθείσας αμοιβής  δε θα μπορεί να είναι λιγότερο από τα 50 </w:t>
      </w:r>
      <w:r>
        <w:rPr>
          <w:rFonts w:ascii="Calibri" w:hAnsi="Calibri" w:cs="Calibri"/>
          <w:lang w:val="en-US"/>
        </w:rPr>
        <w:t>euro</w:t>
      </w:r>
      <w:r>
        <w:rPr>
          <w:rFonts w:ascii="Calibri" w:hAnsi="Calibri" w:cs="Calibri"/>
          <w:lang w:val="el-GR"/>
        </w:rPr>
        <w:t xml:space="preserve"> και περισσότερο από τα </w:t>
      </w:r>
      <w:r>
        <w:rPr>
          <w:rFonts w:hint="default" w:ascii="Calibri" w:hAnsi="Calibri" w:cs="Calibri"/>
          <w:lang w:val="el-GR"/>
        </w:rPr>
        <w:t>4</w:t>
      </w:r>
      <w:r>
        <w:rPr>
          <w:rFonts w:ascii="Calibri" w:hAnsi="Calibri" w:cs="Calibri"/>
          <w:lang w:val="el-GR"/>
        </w:rPr>
        <w:t xml:space="preserve">00 </w:t>
      </w:r>
      <w:r>
        <w:rPr>
          <w:rFonts w:ascii="Calibri" w:hAnsi="Calibri" w:cs="Calibri"/>
          <w:lang w:val="en-US"/>
        </w:rPr>
        <w:t>euro</w:t>
      </w:r>
      <w:r>
        <w:rPr>
          <w:rFonts w:ascii="Calibri" w:hAnsi="Calibri" w:cs="Calibri"/>
          <w:lang w:val="el-GR"/>
        </w:rPr>
        <w:t xml:space="preserve"> </w:t>
      </w:r>
      <w:r>
        <w:rPr>
          <w:rFonts w:hint="default" w:ascii="Calibri" w:hAnsi="Calibri" w:cs="Calibri"/>
          <w:lang w:val="el-GR"/>
        </w:rPr>
        <w:t xml:space="preserve">( για αγώνα τεσσάρων γύρων) και </w:t>
      </w:r>
      <w:r>
        <w:rPr>
          <w:rFonts w:ascii="Calibri" w:hAnsi="Calibri" w:cs="Calibri"/>
          <w:lang w:val="el-GR"/>
        </w:rPr>
        <w:t xml:space="preserve">λιγότερο από τα </w:t>
      </w:r>
      <w:r>
        <w:rPr>
          <w:rFonts w:hint="default" w:ascii="Calibri" w:hAnsi="Calibri" w:cs="Calibri"/>
          <w:lang w:val="el-GR"/>
        </w:rPr>
        <w:t>100</w:t>
      </w:r>
      <w:r>
        <w:rPr>
          <w:rFonts w:ascii="Calibri" w:hAnsi="Calibri" w:cs="Calibri"/>
          <w:lang w:val="el-GR"/>
        </w:rPr>
        <w:t xml:space="preserve"> </w:t>
      </w:r>
      <w:r>
        <w:rPr>
          <w:rFonts w:ascii="Calibri" w:hAnsi="Calibri" w:cs="Calibri"/>
          <w:lang w:val="en-US"/>
        </w:rPr>
        <w:t>euro</w:t>
      </w:r>
      <w:r>
        <w:rPr>
          <w:rFonts w:ascii="Calibri" w:hAnsi="Calibri" w:cs="Calibri"/>
          <w:lang w:val="el-GR"/>
        </w:rPr>
        <w:t xml:space="preserve"> και περισσότερο από τα </w:t>
      </w:r>
      <w:r>
        <w:rPr>
          <w:rFonts w:hint="default" w:ascii="Calibri" w:hAnsi="Calibri" w:cs="Calibri"/>
          <w:lang w:val="el-GR"/>
        </w:rPr>
        <w:t>4</w:t>
      </w:r>
      <w:r>
        <w:rPr>
          <w:rFonts w:ascii="Calibri" w:hAnsi="Calibri" w:cs="Calibri"/>
          <w:lang w:val="el-GR"/>
        </w:rPr>
        <w:t xml:space="preserve">00 </w:t>
      </w:r>
      <w:r>
        <w:rPr>
          <w:rFonts w:ascii="Calibri" w:hAnsi="Calibri" w:cs="Calibri"/>
          <w:lang w:val="en-US"/>
        </w:rPr>
        <w:t>euro</w:t>
      </w:r>
      <w:r>
        <w:rPr>
          <w:rFonts w:ascii="Calibri" w:hAnsi="Calibri" w:cs="Calibri"/>
          <w:lang w:val="el-GR"/>
        </w:rPr>
        <w:t xml:space="preserve"> </w:t>
      </w:r>
      <w:r>
        <w:rPr>
          <w:rFonts w:hint="default" w:ascii="Calibri" w:hAnsi="Calibri" w:cs="Calibri"/>
          <w:lang w:val="el-GR"/>
        </w:rPr>
        <w:t xml:space="preserve">( για αγώνα έξι, οκτώ ή δεκα γύρων) </w:t>
      </w:r>
      <w:r>
        <w:rPr>
          <w:rFonts w:ascii="Calibri" w:hAnsi="Calibri" w:cs="Calibri"/>
          <w:lang w:val="el-GR"/>
        </w:rPr>
        <w:t>Για παράδειγμα</w:t>
      </w:r>
      <w:r>
        <w:rPr>
          <w:rFonts w:ascii="Calibri" w:hAnsi="Calibri" w:cs="Calibri"/>
          <w:lang w:val="en-US"/>
        </w:rPr>
        <w:t>:</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1320"/>
        <w:gridCol w:w="2180"/>
        <w:gridCol w:w="3426"/>
      </w:tblGrid>
      <w:tr w14:paraId="0DE88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tcPr>
          <w:p w14:paraId="141ECC59">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Αμοιβή πυγμάχου</w:t>
            </w:r>
          </w:p>
        </w:tc>
        <w:tc>
          <w:tcPr>
            <w:tcW w:w="1320" w:type="dxa"/>
          </w:tcPr>
          <w:p w14:paraId="7C9224FB">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10%</w:t>
            </w:r>
          </w:p>
        </w:tc>
        <w:tc>
          <w:tcPr>
            <w:tcW w:w="2180" w:type="dxa"/>
          </w:tcPr>
          <w:p w14:paraId="1E608155">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Υπερ Ε.Ο.Ε.Π</w:t>
            </w:r>
          </w:p>
          <w:p w14:paraId="7F63097D">
            <w:pPr>
              <w:widowControl w:val="0"/>
              <w:autoSpaceDE w:val="0"/>
              <w:autoSpaceDN w:val="0"/>
              <w:adjustRightInd w:val="0"/>
              <w:spacing w:after="200" w:line="276" w:lineRule="auto"/>
              <w:jc w:val="both"/>
              <w:rPr>
                <w:rFonts w:hint="default" w:ascii="Calibri" w:hAnsi="Calibri" w:cs="Calibri"/>
                <w:lang w:val="el-GR"/>
              </w:rPr>
            </w:pPr>
            <w:r>
              <w:rPr>
                <w:rFonts w:hint="default" w:ascii="Calibri" w:hAnsi="Calibri" w:cs="Calibri"/>
                <w:lang w:val="el-GR"/>
              </w:rPr>
              <w:t>(Αγώνας 4 γυρων)</w:t>
            </w:r>
          </w:p>
        </w:tc>
        <w:tc>
          <w:tcPr>
            <w:tcW w:w="3426" w:type="dxa"/>
          </w:tcPr>
          <w:p w14:paraId="0DA1A94C">
            <w:pPr>
              <w:widowControl w:val="0"/>
              <w:autoSpaceDE w:val="0"/>
              <w:autoSpaceDN w:val="0"/>
              <w:adjustRightInd w:val="0"/>
              <w:spacing w:after="200" w:line="276" w:lineRule="auto"/>
              <w:jc w:val="both"/>
              <w:rPr>
                <w:rFonts w:hint="default" w:ascii="Calibri" w:hAnsi="Calibri" w:cs="Calibri"/>
                <w:lang w:val="el-GR"/>
              </w:rPr>
            </w:pPr>
            <w:r>
              <w:rPr>
                <w:rFonts w:ascii="Calibri" w:hAnsi="Calibri" w:cs="Calibri"/>
                <w:lang w:val="el-GR"/>
              </w:rPr>
              <w:t>Υπερ Ε.Ο.Ε.Π</w:t>
            </w:r>
            <w:r>
              <w:rPr>
                <w:rFonts w:hint="default" w:ascii="Calibri" w:hAnsi="Calibri" w:cs="Calibri"/>
                <w:lang w:val="el-GR"/>
              </w:rPr>
              <w:t xml:space="preserve"> </w:t>
            </w:r>
          </w:p>
          <w:p w14:paraId="42F4C7B0">
            <w:pPr>
              <w:widowControl w:val="0"/>
              <w:autoSpaceDE w:val="0"/>
              <w:autoSpaceDN w:val="0"/>
              <w:adjustRightInd w:val="0"/>
              <w:spacing w:after="200" w:line="276" w:lineRule="auto"/>
              <w:jc w:val="both"/>
              <w:rPr>
                <w:rFonts w:hint="default" w:ascii="Calibri" w:hAnsi="Calibri" w:cs="Calibri"/>
                <w:lang w:val="el-GR"/>
              </w:rPr>
            </w:pPr>
            <w:r>
              <w:rPr>
                <w:rFonts w:hint="default" w:ascii="Calibri" w:hAnsi="Calibri" w:cs="Calibri"/>
                <w:lang w:val="el-GR"/>
              </w:rPr>
              <w:t>(Αγώνας 6 ή 8 ή 10 γύρων)</w:t>
            </w:r>
          </w:p>
        </w:tc>
      </w:tr>
      <w:tr w14:paraId="6A187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tcPr>
          <w:p w14:paraId="2BEA1E49">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400,00</w:t>
            </w:r>
          </w:p>
        </w:tc>
        <w:tc>
          <w:tcPr>
            <w:tcW w:w="1320" w:type="dxa"/>
          </w:tcPr>
          <w:p w14:paraId="4F989E86">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40</w:t>
            </w:r>
          </w:p>
        </w:tc>
        <w:tc>
          <w:tcPr>
            <w:tcW w:w="2180" w:type="dxa"/>
          </w:tcPr>
          <w:p w14:paraId="4BA058AA">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50</w:t>
            </w:r>
          </w:p>
        </w:tc>
        <w:tc>
          <w:tcPr>
            <w:tcW w:w="3426" w:type="dxa"/>
          </w:tcPr>
          <w:p w14:paraId="2D0669E0">
            <w:pPr>
              <w:widowControl w:val="0"/>
              <w:autoSpaceDE w:val="0"/>
              <w:autoSpaceDN w:val="0"/>
              <w:adjustRightInd w:val="0"/>
              <w:spacing w:after="200" w:line="276" w:lineRule="auto"/>
              <w:jc w:val="both"/>
              <w:rPr>
                <w:rFonts w:hint="default" w:ascii="Calibri" w:hAnsi="Calibri" w:cs="Calibri"/>
                <w:lang w:val="el-GR"/>
              </w:rPr>
            </w:pPr>
            <w:r>
              <w:rPr>
                <w:rFonts w:hint="default" w:ascii="Calibri" w:hAnsi="Calibri" w:cs="Calibri"/>
                <w:lang w:val="el-GR"/>
              </w:rPr>
              <w:t>100</w:t>
            </w:r>
          </w:p>
        </w:tc>
      </w:tr>
      <w:tr w14:paraId="03885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tcPr>
          <w:p w14:paraId="48D1FD23">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1.500,00</w:t>
            </w:r>
          </w:p>
        </w:tc>
        <w:tc>
          <w:tcPr>
            <w:tcW w:w="1320" w:type="dxa"/>
          </w:tcPr>
          <w:p w14:paraId="3AE913FD">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150</w:t>
            </w:r>
          </w:p>
        </w:tc>
        <w:tc>
          <w:tcPr>
            <w:tcW w:w="2180" w:type="dxa"/>
          </w:tcPr>
          <w:p w14:paraId="6CC12219">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150</w:t>
            </w:r>
          </w:p>
        </w:tc>
        <w:tc>
          <w:tcPr>
            <w:tcW w:w="3426" w:type="dxa"/>
          </w:tcPr>
          <w:p w14:paraId="1AB09672">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150</w:t>
            </w:r>
          </w:p>
        </w:tc>
      </w:tr>
      <w:tr w14:paraId="7A8E3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tcPr>
          <w:p w14:paraId="21504542">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20.000,00</w:t>
            </w:r>
          </w:p>
        </w:tc>
        <w:tc>
          <w:tcPr>
            <w:tcW w:w="1320" w:type="dxa"/>
          </w:tcPr>
          <w:p w14:paraId="1F7DAA67">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2.000</w:t>
            </w:r>
          </w:p>
        </w:tc>
        <w:tc>
          <w:tcPr>
            <w:tcW w:w="2180" w:type="dxa"/>
          </w:tcPr>
          <w:p w14:paraId="431EDE5A">
            <w:pPr>
              <w:widowControl w:val="0"/>
              <w:autoSpaceDE w:val="0"/>
              <w:autoSpaceDN w:val="0"/>
              <w:adjustRightInd w:val="0"/>
              <w:spacing w:after="200" w:line="276" w:lineRule="auto"/>
              <w:jc w:val="both"/>
              <w:rPr>
                <w:rFonts w:hint="default" w:ascii="Calibri" w:hAnsi="Calibri" w:cs="Calibri"/>
                <w:lang w:val="el-GR"/>
              </w:rPr>
            </w:pPr>
            <w:r>
              <w:rPr>
                <w:rFonts w:hint="default" w:ascii="Calibri" w:hAnsi="Calibri" w:cs="Calibri"/>
                <w:lang w:val="el-GR"/>
              </w:rPr>
              <w:t>4</w:t>
            </w:r>
            <w:r>
              <w:rPr>
                <w:rFonts w:ascii="Calibri" w:hAnsi="Calibri" w:cs="Calibri"/>
                <w:lang w:val="el-GR"/>
              </w:rPr>
              <w:t>00</w:t>
            </w:r>
          </w:p>
        </w:tc>
        <w:tc>
          <w:tcPr>
            <w:tcW w:w="3426" w:type="dxa"/>
          </w:tcPr>
          <w:p w14:paraId="32FEF873">
            <w:pPr>
              <w:widowControl w:val="0"/>
              <w:autoSpaceDE w:val="0"/>
              <w:autoSpaceDN w:val="0"/>
              <w:adjustRightInd w:val="0"/>
              <w:spacing w:after="200" w:line="276" w:lineRule="auto"/>
              <w:jc w:val="both"/>
              <w:rPr>
                <w:rFonts w:ascii="Calibri" w:hAnsi="Calibri" w:cs="Calibri"/>
                <w:lang w:val="el-GR"/>
              </w:rPr>
            </w:pPr>
            <w:r>
              <w:rPr>
                <w:rFonts w:hint="default" w:ascii="Calibri" w:hAnsi="Calibri" w:cs="Calibri"/>
                <w:lang w:val="el-GR"/>
              </w:rPr>
              <w:t>4</w:t>
            </w:r>
            <w:r>
              <w:rPr>
                <w:rFonts w:ascii="Calibri" w:hAnsi="Calibri" w:cs="Calibri"/>
                <w:lang w:val="el-GR"/>
              </w:rPr>
              <w:t>00</w:t>
            </w:r>
          </w:p>
        </w:tc>
      </w:tr>
    </w:tbl>
    <w:p w14:paraId="033EB8ED">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 xml:space="preserve">  </w:t>
      </w:r>
    </w:p>
    <w:p w14:paraId="4E9ADE38">
      <w:pPr>
        <w:widowControl w:val="0"/>
        <w:autoSpaceDE w:val="0"/>
        <w:autoSpaceDN w:val="0"/>
        <w:adjustRightInd w:val="0"/>
        <w:spacing w:after="200" w:line="276" w:lineRule="auto"/>
        <w:jc w:val="both"/>
        <w:rPr>
          <w:rFonts w:hint="default" w:ascii="Calibri" w:hAnsi="Calibri" w:cs="Calibri"/>
          <w:lang w:val="el-GR"/>
        </w:rPr>
      </w:pPr>
      <w:r>
        <w:rPr>
          <w:rFonts w:ascii="Calibri" w:hAnsi="Calibri" w:cs="Calibri"/>
          <w:lang w:val="en-US"/>
        </w:rPr>
        <w:t>H</w:t>
      </w:r>
      <w:r>
        <w:rPr>
          <w:rFonts w:ascii="Calibri" w:hAnsi="Calibri" w:cs="Calibri"/>
          <w:lang w:val="el-GR"/>
        </w:rPr>
        <w:t xml:space="preserve"> καταβολή του ποσού θα γίνεται από τον πυγμάχο ή εκπρόσωπό του τουλάχιστον 7 ημέρες πριν την διεξαγωγή του αγώνα. Σε περίπτωση ματαίωσης του αγώνα το ποσό θα</w:t>
      </w:r>
      <w:r>
        <w:rPr>
          <w:rFonts w:hint="default" w:ascii="Calibri" w:hAnsi="Calibri" w:cs="Calibri"/>
          <w:lang w:val="el-GR"/>
        </w:rPr>
        <w:t xml:space="preserve"> ισοψηφιστεί σε επομενη αναμέτρηση</w:t>
      </w:r>
      <w:r>
        <w:rPr>
          <w:rFonts w:hint="default" w:ascii="Calibri" w:hAnsi="Calibri" w:cs="Calibri"/>
          <w:lang w:val="en-US"/>
        </w:rPr>
        <w:t>.</w:t>
      </w:r>
      <w:r>
        <w:rPr>
          <w:rFonts w:hint="default" w:ascii="Calibri" w:hAnsi="Calibri" w:cs="Calibri"/>
          <w:lang w:val="el-GR"/>
        </w:rPr>
        <w:t xml:space="preserve"> </w:t>
      </w:r>
    </w:p>
    <w:p w14:paraId="754CB4B6">
      <w:pPr>
        <w:widowControl w:val="0"/>
        <w:autoSpaceDE w:val="0"/>
        <w:autoSpaceDN w:val="0"/>
        <w:adjustRightInd w:val="0"/>
        <w:spacing w:after="200" w:line="276" w:lineRule="auto"/>
        <w:jc w:val="both"/>
        <w:rPr>
          <w:rFonts w:hint="default" w:ascii="Calibri" w:hAnsi="Calibri" w:cs="Calibri"/>
          <w:lang w:val="el-GR"/>
        </w:rPr>
      </w:pPr>
      <w:r>
        <w:rPr>
          <w:rFonts w:hint="default" w:ascii="Calibri" w:hAnsi="Calibri" w:cs="Calibri"/>
          <w:lang w:val="el-GR"/>
        </w:rPr>
        <w:t xml:space="preserve">Σε περίπτωση που η πυγμαχική αναμέτρηση συνοδεύεται από τη διεκδήση επαγγελματικής ζώνης πυγμαχίας ο Ε.Ο.Ε.Π, αξιώνει την καταβολή ποσού ίση με τον 50% του </w:t>
      </w:r>
      <w:r>
        <w:rPr>
          <w:rFonts w:hint="default" w:ascii="Calibri" w:hAnsi="Calibri" w:cs="Calibri"/>
          <w:lang w:val="en-US"/>
        </w:rPr>
        <w:t xml:space="preserve">fee </w:t>
      </w:r>
      <w:r>
        <w:rPr>
          <w:rFonts w:hint="default" w:ascii="Calibri" w:hAnsi="Calibri" w:cs="Calibri"/>
          <w:lang w:val="el-GR"/>
        </w:rPr>
        <w:t>της ζώνης.</w:t>
      </w:r>
    </w:p>
    <w:p w14:paraId="5DE798EC">
      <w:pPr>
        <w:widowControl w:val="0"/>
        <w:autoSpaceDE w:val="0"/>
        <w:autoSpaceDN w:val="0"/>
        <w:adjustRightInd w:val="0"/>
        <w:spacing w:after="200" w:line="276" w:lineRule="auto"/>
        <w:jc w:val="both"/>
        <w:rPr>
          <w:rFonts w:hint="default" w:ascii="Calibri" w:hAnsi="Calibri" w:cs="Calibri"/>
          <w:lang w:val="el-GR"/>
        </w:rPr>
      </w:pPr>
      <w:r>
        <w:rPr>
          <w:rFonts w:hint="default" w:ascii="Calibri" w:hAnsi="Calibri" w:cs="Calibri"/>
          <w:lang w:val="el-GR"/>
        </w:rPr>
        <w:t xml:space="preserve">Σε περίπτωση που ο-η πυγμάχος ειναι κάτοχος επαγγελματικής ζώνης πυγμαχίας και δίνει αγώνα υπεράσπισης ο Ε.Ο.Ε.Π, αξιώνει την καταβολή ποσού ίση με τον 25% του </w:t>
      </w:r>
      <w:r>
        <w:rPr>
          <w:rFonts w:hint="default" w:ascii="Calibri" w:hAnsi="Calibri" w:cs="Calibri"/>
          <w:lang w:val="en-US"/>
        </w:rPr>
        <w:t xml:space="preserve">fee </w:t>
      </w:r>
      <w:r>
        <w:rPr>
          <w:rFonts w:hint="default" w:ascii="Calibri" w:hAnsi="Calibri" w:cs="Calibri"/>
          <w:lang w:val="el-GR"/>
        </w:rPr>
        <w:t>της ζώνης.</w:t>
      </w:r>
    </w:p>
    <w:p w14:paraId="441B60C5">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27) Ο πυγμάχος δήλωσε ότι διάβασε και κατανόησε πλήρως τον κανονισμό Λειτουργίας και Διοργάνωσης Αγώνων Επαγγελματικής Πυγμαχίας του Ε.Ο.Ε.Π.  στους οποίους προσχωρεί ανεπιφύλακτα και αποτελούν αναπόσπαστο κομμάτι του παρόντος. Ο πυγμάχος επίσης οφείλει να τηρεί τις διατάξεις των λοιπών κανονισμών και των επίσημων κανονισμών της Ευρωπαϊκής Επαγγελματικής  Πυγμαχίας και της EBU και WBC, όπως αυτοί καθορίζονται στις επίσημες ιστοσελίδες τους, στις οποίες ομοσπονδίες υπάγεται ο Ε.Ο.Ε.Π.  , των οποίων ο πυγμάχος έλαβε γνώση και αποδέχεται ανεπιφύλακτα . Σε περίπτωση που πυγμάχος παραβεί κάποιον από τους όρους του παρόντος , συμφωνεί ότι θα καταβάλει  πρόστιμο που θα καθορίσει το ΔΣ  και οποιαδήποτε άλλη  ποινή προβλέπεται ειδικότερα από το παρόν συμφωνητικό και από τον Κανονισμό Λειτουργίας Επαγγελματικών διοργανώσεων  του Ε.Ο.Ε.Π. .</w:t>
      </w:r>
    </w:p>
    <w:p w14:paraId="695C36C9">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28) Ο Ε.Ο.Ε.Π.  διατηρεί το δικαίωμα της μονομερούς καταγγελίας  , και με την επιφύλαξη όσων ορίζονται από τον Κανονισμό Λειτουργίας και Διοργάνωσης Επαγγελματικών διοργανώσεων  του Ε.Ο.Ε.Π. . Σε αυτή την περίπτωση λύεται συμβατική σχέση και ο πυγμάχος διαγράφεται από το Ε.Ο.Ε.Π. , στον οποίο μπορεί να επιστρέψει μόνο κατόπιν απόφασης του Διοικητικού Συμβουλίου του Ε.Ο.Ε.Π.  και με τους όρ</w:t>
      </w:r>
      <w:r>
        <w:rPr>
          <w:rFonts w:hint="default" w:ascii="Calibri" w:hAnsi="Calibri" w:cs="Calibri"/>
          <w:lang w:val="en-US"/>
        </w:rPr>
        <w:t>o</w:t>
      </w:r>
      <w:r>
        <w:rPr>
          <w:rFonts w:ascii="Calibri" w:hAnsi="Calibri" w:cs="Calibri"/>
          <w:lang w:val="el-GR"/>
        </w:rPr>
        <w:t>υς που προαναφέρθηκαν.</w:t>
      </w:r>
    </w:p>
    <w:p w14:paraId="11AEB954">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 xml:space="preserve">29) Τα μέρη θα καταβάλουν κάθε δυνατή προσπάθεια ώστε οι διαφορές τους να λύνονται φιλικά. </w:t>
      </w:r>
    </w:p>
    <w:p w14:paraId="77088C1A">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30) Σε κάθε άλλη περίπτωση για την επίλυση κάθε διαφοράς που απορρέει από το παρόν, ορίζονται αρμόδια τα ελληνικά δικαστήρια.</w:t>
      </w:r>
    </w:p>
    <w:p w14:paraId="0B315B65">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31) Το παρόν σημφωνητικό έχει διάρκεια δύο ετών και μπορεί να διακοπεί μονομερός μόνο μετά από απόφαση του ΔΣ του Ε.Ο.Ε.Π.</w:t>
      </w:r>
    </w:p>
    <w:p w14:paraId="366A62B5">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32) Το παρόν συμφωνητικό περιλαμβάνει προσωπικά δεδομένα και ως εκ τουτου απαγορεύεται η μέρική ή ολική δημοσίευση του.</w:t>
      </w:r>
    </w:p>
    <w:p w14:paraId="1DF3B151">
      <w:pPr>
        <w:widowControl w:val="0"/>
        <w:autoSpaceDE w:val="0"/>
        <w:autoSpaceDN w:val="0"/>
        <w:adjustRightInd w:val="0"/>
        <w:spacing w:after="200" w:line="276" w:lineRule="auto"/>
        <w:jc w:val="both"/>
        <w:rPr>
          <w:rFonts w:ascii="Calibri" w:hAnsi="Calibri" w:cs="Calibri"/>
        </w:rPr>
      </w:pPr>
      <w:r>
        <w:rPr>
          <w:rFonts w:ascii="Calibri" w:hAnsi="Calibri" w:cs="Calibri"/>
          <w:lang w:val="el-GR"/>
        </w:rPr>
        <w:t xml:space="preserve">Μέσα ηλεκτρονικής επικοινωνίας με Ε.Ο.Ε.Π. : προφίλ facebook. </w:t>
      </w:r>
      <w:r>
        <w:rPr>
          <w:rFonts w:ascii="Calibri" w:hAnsi="Calibri" w:cs="Calibri"/>
        </w:rPr>
        <w:t>Messenger:</w:t>
      </w:r>
    </w:p>
    <w:p w14:paraId="28E62B3F">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Stefanopoulos Giorgos,</w:t>
      </w:r>
    </w:p>
    <w:p w14:paraId="2115D9EB">
      <w:pPr>
        <w:widowControl w:val="0"/>
        <w:autoSpaceDE w:val="0"/>
        <w:autoSpaceDN w:val="0"/>
        <w:adjustRightInd w:val="0"/>
        <w:spacing w:after="200" w:line="276" w:lineRule="auto"/>
        <w:jc w:val="both"/>
        <w:rPr>
          <w:rFonts w:ascii="Calibri" w:hAnsi="Calibri" w:cs="Calibri"/>
          <w:lang w:val="en"/>
        </w:rPr>
      </w:pPr>
    </w:p>
    <w:p w14:paraId="5E55D187">
      <w:pPr>
        <w:widowControl w:val="0"/>
        <w:autoSpaceDE w:val="0"/>
        <w:autoSpaceDN w:val="0"/>
        <w:adjustRightInd w:val="0"/>
        <w:spacing w:after="200" w:line="276" w:lineRule="auto"/>
        <w:jc w:val="both"/>
        <w:rPr>
          <w:rFonts w:hint="default" w:ascii="Calibri" w:hAnsi="Calibri" w:cs="Calibri"/>
          <w:lang w:val="en-US"/>
        </w:rPr>
      </w:pPr>
      <w:r>
        <w:rPr>
          <w:rFonts w:ascii="Calibri" w:hAnsi="Calibri" w:cs="Calibri"/>
          <w:lang w:val="en"/>
        </w:rPr>
        <w:t>Mail.</w:t>
      </w:r>
      <w:r>
        <w:rPr>
          <w:rFonts w:hint="default" w:ascii="Calibri" w:hAnsi="Calibri" w:cs="Calibri"/>
          <w:lang w:val="en-US"/>
        </w:rPr>
        <w:t xml:space="preserve"> </w:t>
      </w:r>
      <w:r>
        <w:rPr>
          <w:rFonts w:ascii="Calibri" w:hAnsi="Calibri" w:cs="Calibri"/>
          <w:lang w:val="en"/>
        </w:rPr>
        <w:t xml:space="preserve"> </w:t>
      </w:r>
      <w:r>
        <w:rPr>
          <w:rFonts w:hint="default" w:ascii="Calibri" w:hAnsi="Calibri" w:cs="Calibri"/>
          <w:lang w:val="en-US"/>
        </w:rPr>
        <w:t>pbfofgreece@gmail.com</w:t>
      </w:r>
    </w:p>
    <w:p w14:paraId="1D541AFC">
      <w:pPr>
        <w:widowControl w:val="0"/>
        <w:autoSpaceDE w:val="0"/>
        <w:autoSpaceDN w:val="0"/>
        <w:adjustRightInd w:val="0"/>
        <w:spacing w:after="200" w:line="276" w:lineRule="auto"/>
        <w:jc w:val="both"/>
        <w:rPr>
          <w:rFonts w:ascii="Calibri" w:hAnsi="Calibri" w:cs="Calibri"/>
          <w:lang w:val="en"/>
        </w:rPr>
      </w:pPr>
    </w:p>
    <w:p w14:paraId="3E9C0173">
      <w:pPr>
        <w:widowControl w:val="0"/>
        <w:autoSpaceDE w:val="0"/>
        <w:autoSpaceDN w:val="0"/>
        <w:adjustRightInd w:val="0"/>
        <w:spacing w:after="200" w:line="276" w:lineRule="auto"/>
        <w:jc w:val="both"/>
        <w:rPr>
          <w:rFonts w:ascii="Calibri" w:hAnsi="Calibri" w:cs="Calibri"/>
          <w:lang w:val="el-GR"/>
        </w:rPr>
      </w:pPr>
      <w:r>
        <w:rPr>
          <w:rFonts w:ascii="Calibri" w:hAnsi="Calibri" w:cs="Calibri"/>
          <w:lang w:val="el-GR"/>
        </w:rPr>
        <w:t xml:space="preserve">Ο Πρόεδρος                                                 </w:t>
      </w:r>
      <w:r>
        <w:rPr>
          <w:rFonts w:ascii="Calibri" w:hAnsi="Calibri" w:cs="Calibri"/>
        </w:rPr>
        <w:t xml:space="preserve">O </w:t>
      </w:r>
      <w:r>
        <w:rPr>
          <w:rFonts w:ascii="Calibri" w:hAnsi="Calibri" w:cs="Calibri"/>
          <w:lang w:val="el-GR"/>
        </w:rPr>
        <w:t>Πυγμάχος</w:t>
      </w:r>
    </w:p>
    <w:p w14:paraId="01F072B2">
      <w:pPr>
        <w:widowControl w:val="0"/>
        <w:autoSpaceDE w:val="0"/>
        <w:autoSpaceDN w:val="0"/>
        <w:adjustRightInd w:val="0"/>
        <w:spacing w:after="200" w:line="276" w:lineRule="auto"/>
        <w:jc w:val="both"/>
        <w:rPr>
          <w:rFonts w:ascii="Calibri" w:hAnsi="Calibri" w:cs="Calibri"/>
          <w:lang w:val="en"/>
        </w:rPr>
      </w:pPr>
    </w:p>
    <w:p w14:paraId="006CC8F2">
      <w:pPr>
        <w:widowControl w:val="0"/>
        <w:autoSpaceDE w:val="0"/>
        <w:autoSpaceDN w:val="0"/>
        <w:adjustRightInd w:val="0"/>
        <w:spacing w:after="200" w:line="276" w:lineRule="auto"/>
        <w:jc w:val="both"/>
        <w:rPr>
          <w:rFonts w:ascii="Calibri" w:hAnsi="Calibri" w:cs="Calibri"/>
          <w:lang w:val="en"/>
        </w:rPr>
      </w:pPr>
    </w:p>
    <w:p w14:paraId="26DA5FA6">
      <w:pPr>
        <w:ind w:left="-1276" w:right="-1328"/>
        <w:jc w:val="both"/>
        <w:rPr>
          <w:lang w:val="en-US"/>
        </w:rPr>
      </w:pPr>
    </w:p>
    <w:sectPr>
      <w:pgSz w:w="11900" w:h="16840"/>
      <w:pgMar w:top="993" w:right="1440" w:bottom="709" w:left="1440"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w:panose1 w:val="020B0502040204020203"/>
    <w:charset w:val="A1"/>
    <w:family w:val="swiss"/>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6DC"/>
    <w:rsid w:val="000C1C17"/>
    <w:rsid w:val="00121BFF"/>
    <w:rsid w:val="001271A8"/>
    <w:rsid w:val="002A7FA9"/>
    <w:rsid w:val="003B4F63"/>
    <w:rsid w:val="003C1558"/>
    <w:rsid w:val="003D114B"/>
    <w:rsid w:val="0041531F"/>
    <w:rsid w:val="004901E9"/>
    <w:rsid w:val="00537F2B"/>
    <w:rsid w:val="006C19C5"/>
    <w:rsid w:val="006D3BB9"/>
    <w:rsid w:val="006D7ED7"/>
    <w:rsid w:val="008165BB"/>
    <w:rsid w:val="00954C53"/>
    <w:rsid w:val="009A54D3"/>
    <w:rsid w:val="00A106DC"/>
    <w:rsid w:val="00A73B44"/>
    <w:rsid w:val="00AB62AD"/>
    <w:rsid w:val="00AF2F88"/>
    <w:rsid w:val="00BB782B"/>
    <w:rsid w:val="00C079F5"/>
    <w:rsid w:val="00C568CB"/>
    <w:rsid w:val="00C759DB"/>
    <w:rsid w:val="00CA5BA8"/>
    <w:rsid w:val="00CB58C3"/>
    <w:rsid w:val="00CD2D81"/>
    <w:rsid w:val="00D9617D"/>
    <w:rsid w:val="00DA47A3"/>
    <w:rsid w:val="00DC007F"/>
    <w:rsid w:val="00E12439"/>
    <w:rsid w:val="00EF26AD"/>
    <w:rsid w:val="00FA10B7"/>
    <w:rsid w:val="00FB6C3A"/>
    <w:rsid w:val="00FF1266"/>
    <w:rsid w:val="20691EF1"/>
    <w:rsid w:val="26D570FD"/>
    <w:rsid w:val="3298597F"/>
    <w:rsid w:val="42D2437B"/>
    <w:rsid w:val="49DD2565"/>
    <w:rsid w:val="55B16B77"/>
    <w:rsid w:val="6C5E556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en-GB"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0"/>
    <w:semiHidden/>
    <w:unhideWhenUsed/>
    <w:qFormat/>
    <w:uiPriority w:val="99"/>
    <w:rPr>
      <w:rFonts w:ascii="Segoe UI" w:hAnsi="Segoe UI" w:cs="Segoe UI"/>
      <w:sz w:val="18"/>
      <w:szCs w:val="18"/>
    </w:rPr>
  </w:style>
  <w:style w:type="character" w:styleId="5">
    <w:name w:val="FollowedHyperlink"/>
    <w:basedOn w:val="2"/>
    <w:semiHidden/>
    <w:unhideWhenUsed/>
    <w:qFormat/>
    <w:uiPriority w:val="99"/>
    <w:rPr>
      <w:color w:val="954F72" w:themeColor="followedHyperlink"/>
      <w:u w:val="single"/>
      <w14:textFill>
        <w14:solidFill>
          <w14:schemeClr w14:val="folHlink"/>
        </w14:solidFill>
      </w14:textFill>
    </w:rPr>
  </w:style>
  <w:style w:type="character" w:styleId="6">
    <w:name w:val="Hyperlink"/>
    <w:basedOn w:val="2"/>
    <w:unhideWhenUsed/>
    <w:qFormat/>
    <w:uiPriority w:val="99"/>
    <w:rPr>
      <w:color w:val="0563C1" w:themeColor="hyperlink"/>
      <w:u w:val="single"/>
      <w14:textFill>
        <w14:solidFill>
          <w14:schemeClr w14:val="hlink"/>
        </w14:solidFill>
      </w14:textFill>
    </w:rPr>
  </w:style>
  <w:style w:type="table" w:styleId="7">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Unresolved Mention1"/>
    <w:basedOn w:val="2"/>
    <w:qFormat/>
    <w:uiPriority w:val="99"/>
    <w:rPr>
      <w:color w:val="605E5C"/>
      <w:shd w:val="clear" w:color="auto" w:fill="E1DFDD"/>
    </w:rPr>
  </w:style>
  <w:style w:type="paragraph" w:styleId="9">
    <w:name w:val="List Paragraph"/>
    <w:basedOn w:val="1"/>
    <w:qFormat/>
    <w:uiPriority w:val="34"/>
    <w:pPr>
      <w:ind w:left="720"/>
      <w:contextualSpacing/>
    </w:pPr>
  </w:style>
  <w:style w:type="character" w:customStyle="1" w:styleId="10">
    <w:name w:val="Balloon Text Char"/>
    <w:basedOn w:val="2"/>
    <w:link w:val="4"/>
    <w:semiHidden/>
    <w:uiPriority w:val="99"/>
    <w:rPr>
      <w:rFonts w:ascii="Segoe UI" w:hAnsi="Segoe UI" w:cs="Segoe UI"/>
      <w:sz w:val="18"/>
      <w:szCs w:val="18"/>
    </w:rPr>
  </w:style>
  <w:style w:type="character" w:customStyle="1" w:styleId="11">
    <w:name w:val="Unresolved Mention"/>
    <w:basedOn w:val="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1831</Words>
  <Characters>10065</Characters>
  <Lines>81</Lines>
  <Paragraphs>23</Paragraphs>
  <TotalTime>20</TotalTime>
  <ScaleCrop>false</ScaleCrop>
  <LinksUpToDate>false</LinksUpToDate>
  <CharactersWithSpaces>11958</CharactersWithSpaces>
  <Application>WPS Office_12.1.0.25242_F1E327BC-269C-435d-A152-05C5408002CA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2022-05-17T16:31:00Z</dcterms:created>
  <dc:creator>Microsoft Office User</dc:creator>
  <cp:lastModifiedBy>Μηνάς Κουγιανός</cp:lastModifiedBy>
  <cp:lastPrinted>2025-12-30T18:12:00Z</cp:lastPrinted>
  <dcterms:modified xsi:type="dcterms:W3CDTF">2026-03-26T15:05:18Z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1033-12.1.0.25242</vt:lpwstr>
  </property>
  <property fmtid="{D5CDD505-2E9C-101B-9397-08002B2CF9AE}" pid="3" name="ICV">
    <vt:lpwstr>3A2C899C23EB47388875C0F78D40A711_13</vt:lpwstr>
  </property>
  <property fmtid="{D5CDD505-2E9C-101B-9397-08002B2CF9AE}" pid="4" name="KSOTemplateDocerSaveRecord">
    <vt:lpwstr>eyJoZGlkIjoiYjk5ODM0YmMxOWJiYWQyNDU4MGIzYWRmYTA0ZmI5NDciLCJ1c2VySWQiOiIzNzI4MTYyMDY1NDA4In0=</vt:lpwstr>
  </property>
</Properties>
</file>